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861714"/>
          <w:sz w:val="40"/>
          <w:szCs w:val="40"/>
        </w:rPr>
      </w:pPr>
      <w:bookmarkStart w:colFirst="0" w:colLast="0" w:name="_gjdgxs" w:id="0"/>
      <w:bookmarkEnd w:id="0"/>
      <w:r w:rsidDel="00000000" w:rsidR="00000000" w:rsidRPr="00000000">
        <w:rPr>
          <w:color w:val="861714"/>
          <w:sz w:val="40"/>
          <w:szCs w:val="40"/>
          <w:rtl w:val="0"/>
        </w:rPr>
        <w:t xml:space="preserve">Texas School for the Blind and Visually Impaired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rPr>
          <w:color w:val="861714"/>
          <w:sz w:val="32"/>
          <w:szCs w:val="32"/>
        </w:rPr>
      </w:pPr>
      <w:r w:rsidDel="00000000" w:rsidR="00000000" w:rsidRPr="00000000">
        <w:rPr>
          <w:color w:val="861714"/>
          <w:sz w:val="32"/>
          <w:szCs w:val="32"/>
          <w:rtl w:val="0"/>
        </w:rPr>
        <w:t xml:space="preserve">Outreach Programs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</wp:posOffset>
            </wp:positionH>
            <wp:positionV relativeFrom="paragraph">
              <wp:posOffset>-502281</wp:posOffset>
            </wp:positionV>
            <wp:extent cx="865505" cy="914400"/>
            <wp:effectExtent b="0" l="0" r="0" t="0"/>
            <wp:wrapSquare wrapText="bothSides" distB="0" distT="0" distL="114300" distR="114300"/>
            <wp:docPr descr="Description: C:\Users\hurstk\Pictures\TSBVIColorlogo.jpg" id="1" name="image1.jpg"/>
            <a:graphic>
              <a:graphicData uri="http://schemas.openxmlformats.org/drawingml/2006/picture">
                <pic:pic>
                  <pic:nvPicPr>
                    <pic:cNvPr descr="Description: C:\Users\hurstk\Pictures\TSBVIColorlogo.jpg"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9144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spacing w:after="120" w:before="120" w:lineRule="auto"/>
        <w:rPr>
          <w:sz w:val="28"/>
          <w:szCs w:val="28"/>
        </w:rPr>
      </w:pPr>
      <w:hyperlink r:id="rId7">
        <w:r w:rsidDel="00000000" w:rsidR="00000000" w:rsidRPr="00000000">
          <w:rPr>
            <w:color w:val="0000ff"/>
            <w:sz w:val="28"/>
            <w:szCs w:val="28"/>
            <w:u w:val="single"/>
            <w:rtl w:val="0"/>
          </w:rPr>
          <w:t xml:space="preserve">www.tsbvi.edu</w:t>
        </w:r>
      </w:hyperlink>
      <w:r w:rsidDel="00000000" w:rsidR="00000000" w:rsidRPr="00000000">
        <w:rPr>
          <w:sz w:val="28"/>
          <w:szCs w:val="28"/>
          <w:rtl w:val="0"/>
        </w:rPr>
        <w:t xml:space="preserve"> | 512-454-8631| 1100 W. 45</w:t>
      </w:r>
      <w:r w:rsidDel="00000000" w:rsidR="00000000" w:rsidRPr="00000000">
        <w:rPr>
          <w:sz w:val="28"/>
          <w:szCs w:val="28"/>
          <w:vertAlign w:val="superscript"/>
          <w:rtl w:val="0"/>
        </w:rPr>
        <w:t xml:space="preserve">th</w:t>
      </w:r>
      <w:r w:rsidDel="00000000" w:rsidR="00000000" w:rsidRPr="00000000">
        <w:rPr>
          <w:sz w:val="28"/>
          <w:szCs w:val="28"/>
          <w:rtl w:val="0"/>
        </w:rPr>
        <w:t xml:space="preserve"> St. | Austin, Texas 78756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rPr>
          <w:b w:val="1"/>
        </w:rPr>
      </w:pPr>
      <w:r w:rsidDel="00000000" w:rsidR="00000000" w:rsidRPr="00000000">
        <w:rPr>
          <w:b w:val="1"/>
          <w:rtl w:val="0"/>
        </w:rPr>
        <w:t xml:space="preserve">TSBVI Coffee Hour: Exploring the Sense of Touch </w:t>
      </w:r>
    </w:p>
    <w:p w:rsidR="00000000" w:rsidDel="00000000" w:rsidP="00000000" w:rsidRDefault="00000000" w:rsidRPr="00000000" w14:paraId="00000007">
      <w:pPr>
        <w:pStyle w:val="Title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August 23rd, 2021 3pm</w:t>
      </w:r>
    </w:p>
    <w:p w:rsidR="00000000" w:rsidDel="00000000" w:rsidP="00000000" w:rsidRDefault="00000000" w:rsidRPr="00000000" w14:paraId="00000008">
      <w:pPr>
        <w:spacing w:after="120" w:before="120" w:lineRule="auto"/>
        <w:rPr/>
      </w:pPr>
      <w:r w:rsidDel="00000000" w:rsidR="00000000" w:rsidRPr="00000000">
        <w:rPr>
          <w:rtl w:val="0"/>
        </w:rPr>
        <w:t xml:space="preserve">Facilitated by</w:t>
      </w:r>
    </w:p>
    <w:p w:rsidR="00000000" w:rsidDel="00000000" w:rsidP="00000000" w:rsidRDefault="00000000" w:rsidRPr="00000000" w14:paraId="00000009">
      <w:pPr>
        <w:spacing w:after="120" w:before="120" w:lineRule="auto"/>
        <w:rPr/>
      </w:pPr>
      <w:r w:rsidDel="00000000" w:rsidR="00000000" w:rsidRPr="00000000">
        <w:rPr>
          <w:rtl w:val="0"/>
        </w:rPr>
        <w:t xml:space="preserve">Sara Kitchen, VI Education Consultant, TSBVI Outreach,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kitchens@tsbvi.edu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Rule="auto"/>
        <w:rPr/>
      </w:pPr>
      <w:r w:rsidDel="00000000" w:rsidR="00000000" w:rsidRPr="00000000">
        <w:rPr>
          <w:rtl w:val="0"/>
        </w:rPr>
        <w:t xml:space="preserve">Adam Graves, DB Education Consultant, TX DeafBlind Project, gravesa@tsbvi.edu</w:t>
      </w:r>
    </w:p>
    <w:p w:rsidR="00000000" w:rsidDel="00000000" w:rsidP="00000000" w:rsidRDefault="00000000" w:rsidRPr="00000000" w14:paraId="0000000B">
      <w:pPr>
        <w:spacing w:after="12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rPr/>
      </w:pPr>
      <w:r w:rsidDel="00000000" w:rsidR="00000000" w:rsidRPr="00000000">
        <w:rPr>
          <w:rtl w:val="0"/>
        </w:rPr>
        <w:t xml:space="preserve">What will we cover today?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Physiology of touch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Psychology of touch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Teaching implications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1"/>
        <w:rPr/>
      </w:pPr>
      <w:r w:rsidDel="00000000" w:rsidR="00000000" w:rsidRPr="00000000">
        <w:rPr>
          <w:rtl w:val="0"/>
        </w:rPr>
        <w:t xml:space="preserve">Three Systems of Tactile Input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Exteroception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Interoception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Proprioception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rPr/>
      </w:pPr>
      <w:r w:rsidDel="00000000" w:rsidR="00000000" w:rsidRPr="00000000">
        <w:rPr>
          <w:rtl w:val="0"/>
        </w:rPr>
        <w:t xml:space="preserve">Exteroception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Perceiving and responding to tactile information from the world outside the body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rPr/>
      </w:pPr>
      <w:r w:rsidDel="00000000" w:rsidR="00000000" w:rsidRPr="00000000">
        <w:rPr>
          <w:rtl w:val="0"/>
        </w:rPr>
        <w:t xml:space="preserve">Interoception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Perceiving and responding to tactile information from the world inside the body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1"/>
        <w:rPr/>
      </w:pPr>
      <w:r w:rsidDel="00000000" w:rsidR="00000000" w:rsidRPr="00000000">
        <w:rPr>
          <w:rtl w:val="0"/>
        </w:rPr>
        <w:t xml:space="preserve">Proprioception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Perception &amp; control of body position and balance: may be viewed as both inside and outside the body.</w:t>
      </w:r>
    </w:p>
    <w:p w:rsidR="00000000" w:rsidDel="00000000" w:rsidP="00000000" w:rsidRDefault="00000000" w:rsidRPr="00000000" w14:paraId="0000001E">
      <w:pPr>
        <w:rPr>
          <w:b w:val="1"/>
          <w:color w:val="632423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1"/>
        <w:rPr/>
      </w:pPr>
      <w:r w:rsidDel="00000000" w:rsidR="00000000" w:rsidRPr="00000000">
        <w:rPr>
          <w:rtl w:val="0"/>
        </w:rPr>
        <w:t xml:space="preserve">Processing of Tactile  Information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Discriminative Touch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Affective Touch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1"/>
        <w:rPr/>
      </w:pPr>
      <w:r w:rsidDel="00000000" w:rsidR="00000000" w:rsidRPr="00000000">
        <w:rPr>
          <w:rtl w:val="0"/>
        </w:rPr>
        <w:t xml:space="preserve">Discriminative Touch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Glabrous, non-hairy skin (Hands, mouth, feet)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Neural pathway travels mainly to cortical regions of the brain 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Intellectual processes like discrimination, recognition, identifying, sorting, categorizing.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1"/>
        <w:rPr/>
      </w:pPr>
      <w:r w:rsidDel="00000000" w:rsidR="00000000" w:rsidRPr="00000000">
        <w:rPr>
          <w:rtl w:val="0"/>
        </w:rPr>
        <w:t xml:space="preserve">Affective Touch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Hairy skin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Neural pathway travels mainly to brainstem &amp; midbrain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Physiological homeostasis, fight flight freeze (survival stuff)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rPr/>
      </w:pPr>
      <w:r w:rsidDel="00000000" w:rsidR="00000000" w:rsidRPr="00000000">
        <w:rPr>
          <w:rtl w:val="0"/>
        </w:rPr>
        <w:t xml:space="preserve">Attention &amp; Touch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Learning vs. Survival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Active vs. Passive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rPr/>
      </w:pPr>
      <w:r w:rsidDel="00000000" w:rsidR="00000000" w:rsidRPr="00000000">
        <w:rPr>
          <w:rtl w:val="0"/>
        </w:rPr>
        <w:t xml:space="preserve">Learning vs. Survival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200" w:line="240" w:lineRule="auto"/>
        <w:ind w:left="864" w:right="864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40404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404040"/>
          <w:sz w:val="24"/>
          <w:szCs w:val="24"/>
          <w:u w:val="none"/>
          <w:shd w:fill="auto" w:val="clear"/>
          <w:vertAlign w:val="baseline"/>
          <w:rtl w:val="0"/>
        </w:rPr>
        <w:t xml:space="preserve">We always learn what we experience--that which is actually happening for us.  This is different from learning from our experience. (Baniel, 2012, p.43)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Physiological and Psychological Homeostasis (survival stuff) overrides cortical processes.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rPr/>
      </w:pPr>
      <w:r w:rsidDel="00000000" w:rsidR="00000000" w:rsidRPr="00000000">
        <w:rPr>
          <w:rtl w:val="0"/>
        </w:rPr>
        <w:t xml:space="preserve">Active vs. Passive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Self-directed movement is required for human brains to form neural pathways (learn)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Passive = awareness, response to stimuli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Active = attention, initiation, experimentation, understanding; builds memory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  <w:color w:val="632423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1"/>
        <w:rPr/>
      </w:pPr>
      <w:r w:rsidDel="00000000" w:rsidR="00000000" w:rsidRPr="00000000">
        <w:rPr>
          <w:rtl w:val="0"/>
        </w:rPr>
        <w:t xml:space="preserve">Social and emotional implications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Social Messages &amp; Relatedness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Autonomy &amp; Competence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1"/>
        <w:rPr/>
      </w:pPr>
      <w:r w:rsidDel="00000000" w:rsidR="00000000" w:rsidRPr="00000000">
        <w:rPr>
          <w:rtl w:val="0"/>
        </w:rPr>
        <w:t xml:space="preserve">Social Messages &amp; Relatedness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200" w:line="240" w:lineRule="auto"/>
        <w:ind w:left="864" w:right="864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40404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404040"/>
          <w:sz w:val="24"/>
          <w:szCs w:val="24"/>
          <w:u w:val="none"/>
          <w:shd w:fill="auto" w:val="clear"/>
          <w:vertAlign w:val="baseline"/>
          <w:rtl w:val="0"/>
        </w:rPr>
        <w:t xml:space="preserve">Who do the persons you seek to communicate with and engage perceive you as being? (Symonette in Mertens &amp; Ginsberg, 2009).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1"/>
        <w:rPr/>
      </w:pPr>
      <w:r w:rsidDel="00000000" w:rsidR="00000000" w:rsidRPr="00000000">
        <w:rPr>
          <w:rtl w:val="0"/>
        </w:rPr>
        <w:t xml:space="preserve">Autonomy &amp; Competence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is messaging internalized by our students?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Power dynamics &amp; stigma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1"/>
        <w:rPr/>
      </w:pPr>
      <w:r w:rsidDel="00000000" w:rsidR="00000000" w:rsidRPr="00000000">
        <w:rPr>
          <w:rtl w:val="0"/>
        </w:rPr>
        <w:t xml:space="preserve">Teaching Implications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Touch carefully, with consideration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Use brain-friendly, hand-under-hand assistance instead of hand-over-hand.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Use hand-under-hand and follow the student’s lead to acknowledge and promote your student’s competence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Heading1"/>
        <w:rPr/>
      </w:pPr>
      <w:r w:rsidDel="00000000" w:rsidR="00000000" w:rsidRPr="00000000">
        <w:rPr>
          <w:rtl w:val="0"/>
        </w:rPr>
        <w:t xml:space="preserve">Questions?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Ask now or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Email us if you think of it later</w:t>
      </w:r>
    </w:p>
    <w:p w:rsidR="00000000" w:rsidDel="00000000" w:rsidP="00000000" w:rsidRDefault="00000000" w:rsidRPr="00000000" w14:paraId="0000004E">
      <w:pPr>
        <w:pStyle w:val="Heading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1"/>
        <w:rPr/>
      </w:pPr>
      <w:r w:rsidDel="00000000" w:rsidR="00000000" w:rsidRPr="00000000">
        <w:rPr>
          <w:rtl w:val="0"/>
        </w:rPr>
        <w:t xml:space="preserve">Texas School for the Blind and Visually Impaired</w:t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TSBVI Coffee Hour: Exploring the Sense of Touch</w:t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August 23rd, 2021 3pm</w:t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Thank you for joining us!</w:t>
      </w:r>
    </w:p>
    <w:p w:rsidR="00000000" w:rsidDel="00000000" w:rsidP="00000000" w:rsidRDefault="00000000" w:rsidRPr="00000000" w14:paraId="00000053">
      <w:pPr>
        <w:widowControl w:val="0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1"/>
        <w:rPr/>
      </w:pPr>
      <w:r w:rsidDel="00000000" w:rsidR="00000000" w:rsidRPr="00000000">
        <w:rPr>
          <w:rtl w:val="0"/>
        </w:rPr>
        <w:t xml:space="preserve">Resources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Baniel, A. (2012). Kids beyond limits: the Anat Baniel method for awakening the brain and transforming the life of your child with special needs. Penguin Group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Mertens, D. M., &amp; Ginsberg, P. E. (2009). The handbook of social research ethics. Sage.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Snapp-Childs, W., Casserly, E., Mon-William, M., Bingham, G.(2013).  Active Prospective Control is Required for Effective Sensorimotor Learning. Retrieved from </w:t>
      </w:r>
      <w:hyperlink r:id="rId9">
        <w:r w:rsidDel="00000000" w:rsidR="00000000" w:rsidRPr="00000000">
          <w:rPr>
            <w:rFonts w:ascii="Helvetica Neue" w:cs="Helvetica Neue" w:eastAsia="Helvetica Neue" w:hAnsi="Helvetica Neue"/>
            <w:b w:val="1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https://journals.plos.org/plosone/article?id=10.1371/journal.pone.0077609#s1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sectPr>
      <w:footerReference r:id="rId10" w:type="default"/>
      <w:footerReference r:id="rId11" w:type="first"/>
      <w:footerReference r:id="rId12" w:type="even"/>
      <w:pgSz w:h="15840" w:w="12240" w:orient="portrait"/>
      <w:pgMar w:bottom="1008" w:top="1008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eorgia"/>
  <w:font w:name="Courier New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80"/>
        <w:tab w:val="right" w:pos="9360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36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80"/>
        <w:tab w:val="right" w:pos="9360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</w:pPr>
    <w:rPr>
      <w:b w:val="1"/>
      <w:color w:val="632423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lineRule="auto"/>
    </w:pPr>
    <w:rPr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yperlink" Target="https://journals.plos.org/plosone/article?id=10.1371/journal.pone.0077609" TargetMode="Externa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http://www.tsbvi.edu" TargetMode="External"/><Relationship Id="rId8" Type="http://schemas.openxmlformats.org/officeDocument/2006/relationships/hyperlink" Target="mailto:kitchens@tsbvi.edu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